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37" w:rsidRPr="008E1A4C" w:rsidRDefault="00F126A4" w:rsidP="00A12937">
      <w:pPr>
        <w:rPr>
          <w:color w:val="000000" w:themeColor="text1"/>
        </w:rPr>
      </w:pPr>
      <w:r>
        <w:rPr>
          <w:rFonts w:hint="eastAsia"/>
          <w:color w:val="000000" w:themeColor="text1"/>
        </w:rPr>
        <w:t>执业</w:t>
      </w:r>
      <w:r w:rsidR="00A12937" w:rsidRPr="008E1A4C">
        <w:rPr>
          <w:rFonts w:hint="eastAsia"/>
          <w:color w:val="000000" w:themeColor="text1"/>
        </w:rPr>
        <w:t>医师——风湿免疫系统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686"/>
        <w:gridCol w:w="4161"/>
      </w:tblGrid>
      <w:tr w:rsidR="00A12937" w:rsidRPr="008E1A4C" w:rsidTr="00C85EF0">
        <w:tc>
          <w:tcPr>
            <w:tcW w:w="675" w:type="dxa"/>
          </w:tcPr>
          <w:p w:rsidR="00A12937" w:rsidRPr="008E1A4C" w:rsidRDefault="00A12937" w:rsidP="00C85EF0">
            <w:pPr>
              <w:rPr>
                <w:color w:val="000000" w:themeColor="text1"/>
              </w:rPr>
            </w:pPr>
            <w:r w:rsidRPr="008E1A4C">
              <w:rPr>
                <w:rFonts w:hint="eastAsia"/>
                <w:color w:val="000000" w:themeColor="text1"/>
              </w:rPr>
              <w:t>页码</w:t>
            </w:r>
          </w:p>
        </w:tc>
        <w:tc>
          <w:tcPr>
            <w:tcW w:w="3686" w:type="dxa"/>
          </w:tcPr>
          <w:p w:rsidR="00A12937" w:rsidRPr="008E1A4C" w:rsidRDefault="00A12937" w:rsidP="00C85EF0">
            <w:pPr>
              <w:rPr>
                <w:color w:val="000000" w:themeColor="text1"/>
              </w:rPr>
            </w:pPr>
            <w:r w:rsidRPr="008E1A4C">
              <w:rPr>
                <w:rFonts w:hint="eastAsia"/>
                <w:color w:val="000000" w:themeColor="text1"/>
              </w:rPr>
              <w:t>2017</w:t>
            </w:r>
            <w:r w:rsidRPr="008E1A4C">
              <w:rPr>
                <w:rFonts w:hint="eastAsia"/>
                <w:color w:val="000000" w:themeColor="text1"/>
              </w:rPr>
              <w:t>年</w:t>
            </w:r>
          </w:p>
        </w:tc>
        <w:tc>
          <w:tcPr>
            <w:tcW w:w="4161" w:type="dxa"/>
          </w:tcPr>
          <w:p w:rsidR="00A12937" w:rsidRPr="008E1A4C" w:rsidRDefault="00A12937" w:rsidP="00C85EF0">
            <w:pPr>
              <w:rPr>
                <w:color w:val="000000" w:themeColor="text1"/>
              </w:rPr>
            </w:pPr>
            <w:r w:rsidRPr="008E1A4C">
              <w:rPr>
                <w:rFonts w:hint="eastAsia"/>
                <w:color w:val="000000" w:themeColor="text1"/>
              </w:rPr>
              <w:t>2018</w:t>
            </w:r>
            <w:r w:rsidRPr="008E1A4C">
              <w:rPr>
                <w:rFonts w:hint="eastAsia"/>
                <w:color w:val="000000" w:themeColor="text1"/>
              </w:rPr>
              <w:t>年</w:t>
            </w:r>
          </w:p>
        </w:tc>
      </w:tr>
      <w:tr w:rsidR="00A12937" w:rsidRPr="008E1A4C" w:rsidTr="00C85EF0">
        <w:tc>
          <w:tcPr>
            <w:tcW w:w="675" w:type="dxa"/>
          </w:tcPr>
          <w:p w:rsidR="00A12937" w:rsidRPr="008E1A4C" w:rsidRDefault="00CD30D4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976</w:t>
            </w:r>
          </w:p>
        </w:tc>
        <w:tc>
          <w:tcPr>
            <w:tcW w:w="3686" w:type="dxa"/>
          </w:tcPr>
          <w:p w:rsidR="00A12937" w:rsidRPr="008E1A4C" w:rsidRDefault="00CD30D4" w:rsidP="00C85EF0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4656B3">
              <w:rPr>
                <w:rFonts w:ascii="宋体" w:hAnsi="宋体" w:hint="eastAsia"/>
                <w:szCs w:val="21"/>
              </w:rPr>
              <w:t>脊柱关节炎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4656B3">
              <w:rPr>
                <w:rFonts w:ascii="宋体" w:hAnsi="宋体" w:hint="eastAsia"/>
                <w:szCs w:val="21"/>
              </w:rPr>
              <w:t>如强直性脊柱炎、银屑病关节炎、炎性肠病关节炎、反应性关节炎、未分化脊柱关节炎等。</w:t>
            </w:r>
          </w:p>
        </w:tc>
        <w:tc>
          <w:tcPr>
            <w:tcW w:w="4161" w:type="dxa"/>
          </w:tcPr>
          <w:p w:rsidR="00A12937" w:rsidRPr="008E1A4C" w:rsidRDefault="00CD30D4" w:rsidP="00CD30D4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4656B3">
              <w:rPr>
                <w:rFonts w:ascii="宋体" w:hAnsi="宋体" w:hint="eastAsia"/>
                <w:szCs w:val="21"/>
              </w:rPr>
              <w:t>脊柱关节炎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4656B3">
              <w:rPr>
                <w:rFonts w:ascii="宋体" w:hAnsi="宋体" w:hint="eastAsia"/>
                <w:szCs w:val="21"/>
              </w:rPr>
              <w:t>如强直性脊柱炎、银屑病关节炎、炎性肠病关节炎、反应性关节炎等。</w:t>
            </w:r>
          </w:p>
        </w:tc>
      </w:tr>
      <w:tr w:rsidR="00A12937" w:rsidRPr="008E1A4C" w:rsidTr="00C85EF0">
        <w:tc>
          <w:tcPr>
            <w:tcW w:w="675" w:type="dxa"/>
          </w:tcPr>
          <w:p w:rsidR="00A12937" w:rsidRPr="008E1A4C" w:rsidRDefault="00CD30D4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977</w:t>
            </w:r>
          </w:p>
        </w:tc>
        <w:tc>
          <w:tcPr>
            <w:tcW w:w="3686" w:type="dxa"/>
          </w:tcPr>
          <w:p w:rsidR="00A12937" w:rsidRPr="008E1A4C" w:rsidRDefault="00CD30D4" w:rsidP="00C85EF0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szCs w:val="21"/>
              </w:rPr>
              <w:t>(3)</w:t>
            </w:r>
            <w:r w:rsidRPr="004656B3">
              <w:rPr>
                <w:rFonts w:ascii="宋体" w:hAnsi="宋体" w:hint="eastAsia"/>
                <w:szCs w:val="21"/>
              </w:rPr>
              <w:t>抗环瓜氨酸肽抗体(抗CCP)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4656B3">
              <w:rPr>
                <w:rFonts w:ascii="宋体" w:hAnsi="宋体" w:hint="eastAsia"/>
                <w:szCs w:val="21"/>
              </w:rPr>
              <w:t>抗原成分为聚角微丝蛋白，对类风湿关节炎的诊断，尤其对早期类风湿关节炎的诊断有重要意义，敏感性为66%，特异性约为95%。</w:t>
            </w:r>
          </w:p>
        </w:tc>
        <w:tc>
          <w:tcPr>
            <w:tcW w:w="4161" w:type="dxa"/>
          </w:tcPr>
          <w:p w:rsidR="00A12937" w:rsidRPr="008E1A4C" w:rsidRDefault="00CD30D4" w:rsidP="00C85EF0">
            <w:pPr>
              <w:rPr>
                <w:b/>
                <w:color w:val="000000" w:themeColor="text1"/>
              </w:rPr>
            </w:pPr>
            <w:r>
              <w:rPr>
                <w:rFonts w:ascii="宋体" w:hAnsi="宋体" w:hint="eastAsia"/>
                <w:szCs w:val="21"/>
              </w:rPr>
              <w:t>(3)</w:t>
            </w:r>
            <w:r w:rsidRPr="004656B3">
              <w:rPr>
                <w:rFonts w:ascii="宋体" w:hAnsi="宋体" w:hint="eastAsia"/>
                <w:szCs w:val="21"/>
              </w:rPr>
              <w:t>抗环瓜氨酸肽抗体(抗CCP)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4656B3">
              <w:rPr>
                <w:rFonts w:ascii="宋体" w:hAnsi="宋体" w:hint="eastAsia"/>
                <w:szCs w:val="21"/>
              </w:rPr>
              <w:t>抗原成分为聚角微丝蛋白，对类风湿关节炎的诊断，尤其对早期类风湿关节炎的诊断有重要意义，敏感性为66%，特异性约为95%。</w:t>
            </w:r>
            <w:r w:rsidR="00737E4C">
              <w:rPr>
                <w:rFonts w:ascii="宋体" w:hAnsi="宋体" w:hint="eastAsia"/>
                <w:szCs w:val="21"/>
              </w:rPr>
              <w:t>至少3倍以上正常值上限的高滴度阳性诊断价值更高。</w:t>
            </w:r>
          </w:p>
        </w:tc>
      </w:tr>
      <w:tr w:rsidR="00737E4C" w:rsidRPr="008E1A4C" w:rsidTr="00C85EF0">
        <w:tc>
          <w:tcPr>
            <w:tcW w:w="675" w:type="dxa"/>
          </w:tcPr>
          <w:p w:rsidR="00737E4C" w:rsidRDefault="005B1BB2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977</w:t>
            </w:r>
          </w:p>
        </w:tc>
        <w:tc>
          <w:tcPr>
            <w:tcW w:w="3686" w:type="dxa"/>
          </w:tcPr>
          <w:p w:rsidR="00737E4C" w:rsidRDefault="005B1BB2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因此临床判断仍</w:t>
            </w:r>
            <w:r>
              <w:rPr>
                <w:rFonts w:ascii="宋体" w:hAnsi="宋体" w:hint="eastAsia"/>
                <w:szCs w:val="21"/>
              </w:rPr>
              <w:t>是</w:t>
            </w:r>
            <w:r w:rsidRPr="004656B3">
              <w:rPr>
                <w:rFonts w:ascii="宋体" w:hAnsi="宋体" w:hint="eastAsia"/>
                <w:szCs w:val="21"/>
              </w:rPr>
              <w:t>诊断的基础。</w:t>
            </w:r>
          </w:p>
        </w:tc>
        <w:tc>
          <w:tcPr>
            <w:tcW w:w="4161" w:type="dxa"/>
          </w:tcPr>
          <w:p w:rsidR="00737E4C" w:rsidRDefault="005B1BB2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因此，对自身抗体的解释必须充分结合临床。</w:t>
            </w:r>
          </w:p>
        </w:tc>
      </w:tr>
      <w:tr w:rsidR="00555A09" w:rsidRPr="008E1A4C" w:rsidTr="00C85EF0">
        <w:tc>
          <w:tcPr>
            <w:tcW w:w="675" w:type="dxa"/>
          </w:tcPr>
          <w:p w:rsidR="00555A09" w:rsidRDefault="00555A09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977</w:t>
            </w:r>
          </w:p>
        </w:tc>
        <w:tc>
          <w:tcPr>
            <w:tcW w:w="3686" w:type="dxa"/>
          </w:tcPr>
          <w:p w:rsidR="00555A09" w:rsidRPr="004656B3" w:rsidRDefault="00555A09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近年来的研究显示：包括COX-2抑制剂在内的NSAID</w:t>
            </w:r>
            <w:r>
              <w:rPr>
                <w:rFonts w:ascii="宋体" w:hAnsi="宋体" w:hint="eastAsia"/>
                <w:szCs w:val="21"/>
              </w:rPr>
              <w:t>s</w:t>
            </w:r>
            <w:r w:rsidRPr="004656B3">
              <w:rPr>
                <w:rFonts w:ascii="宋体" w:hAnsi="宋体" w:hint="eastAsia"/>
                <w:szCs w:val="21"/>
              </w:rPr>
              <w:t>可能会增加患者发生心血管事件的风险，</w:t>
            </w:r>
          </w:p>
        </w:tc>
        <w:tc>
          <w:tcPr>
            <w:tcW w:w="4161" w:type="dxa"/>
          </w:tcPr>
          <w:p w:rsidR="00555A09" w:rsidRDefault="00555A09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包括COX-2抑制剂在内的NSAID可能会增加患者发生心血管事件的风险，</w:t>
            </w:r>
          </w:p>
        </w:tc>
      </w:tr>
      <w:tr w:rsidR="00555A09" w:rsidRPr="008E1A4C" w:rsidTr="00C85EF0">
        <w:tc>
          <w:tcPr>
            <w:tcW w:w="675" w:type="dxa"/>
          </w:tcPr>
          <w:p w:rsidR="00555A09" w:rsidRDefault="00555A09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555A09" w:rsidRPr="004656B3" w:rsidRDefault="00F94868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根据不同的疾病和疾病的不同状况，糖皮质激素可以全身用药，也可以采用关节腔内注射等方式。</w:t>
            </w:r>
          </w:p>
        </w:tc>
        <w:tc>
          <w:tcPr>
            <w:tcW w:w="4161" w:type="dxa"/>
          </w:tcPr>
          <w:p w:rsidR="00555A09" w:rsidRPr="004656B3" w:rsidRDefault="00F94868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根据不同的疾病和疾病的不同状况，糖皮质激素可以全身用药，也可以采用关节腔内注射</w:t>
            </w:r>
            <w:r>
              <w:rPr>
                <w:rFonts w:ascii="宋体" w:hAnsi="宋体" w:hint="eastAsia"/>
                <w:szCs w:val="21"/>
              </w:rPr>
              <w:t>、鞘内注射</w:t>
            </w:r>
            <w:r w:rsidRPr="004656B3">
              <w:rPr>
                <w:rFonts w:ascii="宋体" w:hAnsi="宋体" w:hint="eastAsia"/>
                <w:szCs w:val="21"/>
              </w:rPr>
              <w:t>等方式。</w:t>
            </w:r>
          </w:p>
        </w:tc>
      </w:tr>
      <w:tr w:rsidR="00555A09" w:rsidRPr="008E1A4C" w:rsidTr="00C85EF0">
        <w:tc>
          <w:tcPr>
            <w:tcW w:w="675" w:type="dxa"/>
          </w:tcPr>
          <w:p w:rsidR="00555A09" w:rsidRDefault="00F94868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555A09" w:rsidRPr="00F94868" w:rsidRDefault="00F94868" w:rsidP="00F94868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外源性激素对机体自身激素的分泌有抑制作用，因此长期用药后骤然减量或停用，可以引起肾上腺皮质功能不全，对于长期用药的患者必须逐渐减量至停药。</w:t>
            </w:r>
          </w:p>
        </w:tc>
        <w:tc>
          <w:tcPr>
            <w:tcW w:w="4161" w:type="dxa"/>
          </w:tcPr>
          <w:p w:rsidR="00555A09" w:rsidRPr="00F94868" w:rsidRDefault="000D5558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外源性激素对机体自身激素的分泌有抑制作用，因此长期用药后骤然减量或停用，可以引起肾上腺皮质功能不全，</w:t>
            </w:r>
            <w:r>
              <w:rPr>
                <w:rFonts w:ascii="宋体" w:hAnsi="宋体" w:hint="eastAsia"/>
                <w:szCs w:val="21"/>
              </w:rPr>
              <w:t>对于用药超过10天的患者必须逐渐减量至停药。</w:t>
            </w:r>
          </w:p>
        </w:tc>
      </w:tr>
      <w:tr w:rsidR="00555A09" w:rsidRPr="008E1A4C" w:rsidTr="00C85EF0">
        <w:tc>
          <w:tcPr>
            <w:tcW w:w="675" w:type="dxa"/>
          </w:tcPr>
          <w:p w:rsidR="00555A09" w:rsidRDefault="000D5558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555A09" w:rsidRDefault="000D5558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表17-1中，甲氨蝶呤 常见不良反应</w:t>
            </w:r>
          </w:p>
          <w:p w:rsidR="00246A4B" w:rsidRPr="000D5558" w:rsidRDefault="00246A4B" w:rsidP="00246A4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“骨髓抑制、肝损害、胃肠道反应、肺间质病变等”</w:t>
            </w:r>
          </w:p>
        </w:tc>
        <w:tc>
          <w:tcPr>
            <w:tcW w:w="4161" w:type="dxa"/>
          </w:tcPr>
          <w:p w:rsidR="00246A4B" w:rsidRDefault="00246A4B" w:rsidP="00246A4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表17-1中，甲氨蝶呤 常见不良反应</w:t>
            </w:r>
          </w:p>
          <w:p w:rsidR="00555A09" w:rsidRPr="00246A4B" w:rsidRDefault="00246A4B" w:rsidP="008D252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</w:t>
            </w:r>
            <w:r w:rsidR="008D252E">
              <w:rPr>
                <w:rFonts w:ascii="宋体" w:hAnsi="宋体" w:hint="eastAsia"/>
                <w:szCs w:val="21"/>
              </w:rPr>
              <w:t>胃肠道反应、</w:t>
            </w:r>
            <w:r>
              <w:rPr>
                <w:rFonts w:ascii="宋体" w:hAnsi="宋体" w:hint="eastAsia"/>
                <w:szCs w:val="21"/>
              </w:rPr>
              <w:t>骨髓抑制、肝损害等”</w:t>
            </w:r>
          </w:p>
        </w:tc>
      </w:tr>
      <w:tr w:rsidR="008D252E" w:rsidRPr="008E1A4C" w:rsidTr="00C85EF0">
        <w:tc>
          <w:tcPr>
            <w:tcW w:w="675" w:type="dxa"/>
          </w:tcPr>
          <w:p w:rsidR="008D252E" w:rsidRDefault="008D252E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8D252E" w:rsidRDefault="008D252E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表17-1中，环孢素 常见不良反应 添加</w:t>
            </w:r>
          </w:p>
        </w:tc>
        <w:tc>
          <w:tcPr>
            <w:tcW w:w="4161" w:type="dxa"/>
          </w:tcPr>
          <w:p w:rsidR="008D252E" w:rsidRDefault="008D252E" w:rsidP="00246A4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齿龈增生</w:t>
            </w:r>
          </w:p>
        </w:tc>
      </w:tr>
      <w:tr w:rsidR="008D252E" w:rsidRPr="008E1A4C" w:rsidTr="00C85EF0">
        <w:tc>
          <w:tcPr>
            <w:tcW w:w="675" w:type="dxa"/>
          </w:tcPr>
          <w:p w:rsidR="008D252E" w:rsidRDefault="00391305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8D252E" w:rsidRDefault="00391305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表17-1中</w:t>
            </w:r>
          </w:p>
        </w:tc>
        <w:tc>
          <w:tcPr>
            <w:tcW w:w="4161" w:type="dxa"/>
          </w:tcPr>
          <w:p w:rsidR="008D252E" w:rsidRDefault="00391305" w:rsidP="00246A4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环孢素和吗替麦考酚酯互换位置</w:t>
            </w:r>
          </w:p>
        </w:tc>
      </w:tr>
      <w:tr w:rsidR="00391305" w:rsidRPr="008E1A4C" w:rsidTr="00C85EF0">
        <w:tc>
          <w:tcPr>
            <w:tcW w:w="675" w:type="dxa"/>
          </w:tcPr>
          <w:p w:rsidR="00391305" w:rsidRDefault="00391305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391305" w:rsidRDefault="00391305" w:rsidP="00C85EF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一种DMARD</w:t>
            </w:r>
            <w:r>
              <w:rPr>
                <w:rFonts w:ascii="宋体" w:hAnsi="宋体" w:hint="eastAsia"/>
                <w:szCs w:val="21"/>
              </w:rPr>
              <w:t>s</w:t>
            </w:r>
            <w:r w:rsidRPr="004656B3">
              <w:rPr>
                <w:rFonts w:ascii="宋体" w:hAnsi="宋体" w:hint="eastAsia"/>
                <w:szCs w:val="21"/>
              </w:rPr>
              <w:t>通常对多种CTD有效，但是疗效不完全相同，</w:t>
            </w:r>
          </w:p>
        </w:tc>
        <w:tc>
          <w:tcPr>
            <w:tcW w:w="4161" w:type="dxa"/>
          </w:tcPr>
          <w:p w:rsidR="00391305" w:rsidRDefault="00391305" w:rsidP="008524C0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一种DMARD</w:t>
            </w:r>
            <w:r>
              <w:rPr>
                <w:rFonts w:ascii="宋体" w:hAnsi="宋体" w:hint="eastAsia"/>
                <w:szCs w:val="21"/>
              </w:rPr>
              <w:t>s</w:t>
            </w:r>
            <w:r w:rsidR="008524C0">
              <w:rPr>
                <w:rFonts w:ascii="宋体" w:hAnsi="宋体" w:hint="eastAsia"/>
                <w:szCs w:val="21"/>
              </w:rPr>
              <w:t>治疗不同</w:t>
            </w:r>
            <w:r w:rsidRPr="004656B3">
              <w:rPr>
                <w:rFonts w:ascii="宋体" w:hAnsi="宋体" w:hint="eastAsia"/>
                <w:szCs w:val="21"/>
              </w:rPr>
              <w:t>CTD</w:t>
            </w:r>
            <w:r w:rsidR="008524C0">
              <w:rPr>
                <w:rFonts w:ascii="宋体" w:hAnsi="宋体" w:hint="eastAsia"/>
                <w:szCs w:val="21"/>
              </w:rPr>
              <w:t>的</w:t>
            </w:r>
            <w:r w:rsidRPr="004656B3">
              <w:rPr>
                <w:rFonts w:ascii="宋体" w:hAnsi="宋体" w:hint="eastAsia"/>
                <w:szCs w:val="21"/>
              </w:rPr>
              <w:t>疗效不完全相同，</w:t>
            </w:r>
          </w:p>
        </w:tc>
      </w:tr>
      <w:tr w:rsidR="008524C0" w:rsidRPr="008E1A4C" w:rsidTr="00C85EF0">
        <w:tc>
          <w:tcPr>
            <w:tcW w:w="675" w:type="dxa"/>
          </w:tcPr>
          <w:p w:rsidR="008524C0" w:rsidRDefault="008524C0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978</w:t>
            </w:r>
          </w:p>
        </w:tc>
        <w:tc>
          <w:tcPr>
            <w:tcW w:w="3686" w:type="dxa"/>
          </w:tcPr>
          <w:p w:rsidR="008524C0" w:rsidRPr="004656B3" w:rsidRDefault="008524C0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十余年</w:t>
            </w:r>
          </w:p>
        </w:tc>
        <w:tc>
          <w:tcPr>
            <w:tcW w:w="4161" w:type="dxa"/>
          </w:tcPr>
          <w:p w:rsidR="008524C0" w:rsidRPr="004656B3" w:rsidRDefault="008524C0" w:rsidP="008524C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近20年来</w:t>
            </w:r>
          </w:p>
        </w:tc>
      </w:tr>
      <w:tr w:rsidR="008524C0" w:rsidRPr="008E1A4C" w:rsidTr="00C85EF0">
        <w:tc>
          <w:tcPr>
            <w:tcW w:w="675" w:type="dxa"/>
          </w:tcPr>
          <w:p w:rsidR="008524C0" w:rsidRDefault="008524C0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979</w:t>
            </w:r>
          </w:p>
        </w:tc>
        <w:tc>
          <w:tcPr>
            <w:tcW w:w="3686" w:type="dxa"/>
          </w:tcPr>
          <w:p w:rsidR="008524C0" w:rsidRPr="004656B3" w:rsidRDefault="000375DC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</w:t>
            </w:r>
            <w:r w:rsidRPr="004656B3">
              <w:rPr>
                <w:rFonts w:ascii="宋体" w:hAnsi="宋体" w:hint="eastAsia"/>
                <w:szCs w:val="21"/>
              </w:rPr>
              <w:t>肺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4656B3">
              <w:rPr>
                <w:rFonts w:ascii="宋体" w:hAnsi="宋体" w:hint="eastAsia"/>
                <w:szCs w:val="21"/>
              </w:rPr>
              <w:t>除胸腔积液外，可发生肺动脉高压</w:t>
            </w:r>
          </w:p>
        </w:tc>
        <w:tc>
          <w:tcPr>
            <w:tcW w:w="4161" w:type="dxa"/>
          </w:tcPr>
          <w:p w:rsidR="008524C0" w:rsidRPr="004656B3" w:rsidRDefault="000375DC" w:rsidP="008524C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</w:t>
            </w:r>
            <w:r w:rsidRPr="004656B3">
              <w:rPr>
                <w:rFonts w:ascii="宋体" w:hAnsi="宋体" w:hint="eastAsia"/>
                <w:szCs w:val="21"/>
              </w:rPr>
              <w:t>肺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4656B3">
              <w:rPr>
                <w:rFonts w:ascii="宋体" w:hAnsi="宋体" w:hint="eastAsia"/>
                <w:szCs w:val="21"/>
              </w:rPr>
              <w:t>除胸腔积液外，可发生</w:t>
            </w:r>
            <w:r>
              <w:rPr>
                <w:rFonts w:ascii="宋体" w:hAnsi="宋体" w:hint="eastAsia"/>
                <w:szCs w:val="21"/>
              </w:rPr>
              <w:t>肺实质炎症、</w:t>
            </w:r>
            <w:r w:rsidRPr="004656B3">
              <w:rPr>
                <w:rFonts w:ascii="宋体" w:hAnsi="宋体" w:hint="eastAsia"/>
                <w:szCs w:val="21"/>
              </w:rPr>
              <w:t>肺动脉高压</w:t>
            </w:r>
          </w:p>
        </w:tc>
      </w:tr>
      <w:tr w:rsidR="00EB1C68" w:rsidRPr="008E1A4C" w:rsidTr="00C85EF0">
        <w:tc>
          <w:tcPr>
            <w:tcW w:w="675" w:type="dxa"/>
          </w:tcPr>
          <w:p w:rsidR="00EB1C68" w:rsidRDefault="00EB1C68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980</w:t>
            </w:r>
          </w:p>
        </w:tc>
        <w:tc>
          <w:tcPr>
            <w:tcW w:w="3686" w:type="dxa"/>
          </w:tcPr>
          <w:p w:rsidR="00EB1C68" w:rsidRDefault="00EB1C68" w:rsidP="00EB1C68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梅毒血清试验假阳性提示存在抗磷脂抗体。</w:t>
            </w:r>
          </w:p>
        </w:tc>
        <w:tc>
          <w:tcPr>
            <w:tcW w:w="4161" w:type="dxa"/>
          </w:tcPr>
          <w:p w:rsidR="00EB1C68" w:rsidRDefault="00EB1C68" w:rsidP="00EB1C6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删除</w:t>
            </w:r>
          </w:p>
        </w:tc>
      </w:tr>
      <w:tr w:rsidR="00EB749F" w:rsidRPr="008E1A4C" w:rsidTr="00C85EF0">
        <w:tc>
          <w:tcPr>
            <w:tcW w:w="675" w:type="dxa"/>
          </w:tcPr>
          <w:p w:rsidR="00EB749F" w:rsidRDefault="00EB749F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982</w:t>
            </w:r>
          </w:p>
        </w:tc>
        <w:tc>
          <w:tcPr>
            <w:tcW w:w="3686" w:type="dxa"/>
          </w:tcPr>
          <w:p w:rsidR="00EB749F" w:rsidRPr="004656B3" w:rsidRDefault="00EB749F" w:rsidP="00EB749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(4)</w:t>
            </w:r>
            <w:r w:rsidRPr="00951187">
              <w:rPr>
                <w:rFonts w:ascii="宋体" w:hAnsi="宋体" w:hint="eastAsia"/>
                <w:szCs w:val="21"/>
              </w:rPr>
              <w:t>血液系统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951187">
              <w:rPr>
                <w:rFonts w:ascii="宋体" w:hAnsi="宋体" w:hint="eastAsia"/>
                <w:szCs w:val="21"/>
              </w:rPr>
              <w:t>贫血和血小板增多在活动期RA患者中十分常见，病情稳定后贫血改善，血小板也可以恢复正常。RA患者可以出现中性粒细胞减少，甚至贫血和血小板减少，并伴有脾大，部分患者血抗核抗体阳性，这种情况称为Felty综合征，多见于病程较长的RA</w:t>
            </w:r>
            <w:r w:rsidRPr="00951187">
              <w:rPr>
                <w:rFonts w:ascii="宋体" w:hAnsi="宋体" w:hint="eastAsia"/>
                <w:szCs w:val="21"/>
              </w:rPr>
              <w:lastRenderedPageBreak/>
              <w:t>患者。</w:t>
            </w:r>
          </w:p>
        </w:tc>
        <w:tc>
          <w:tcPr>
            <w:tcW w:w="4161" w:type="dxa"/>
          </w:tcPr>
          <w:p w:rsidR="00EB749F" w:rsidRDefault="00EB749F" w:rsidP="005E1787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(4)</w:t>
            </w:r>
            <w:r w:rsidRPr="00951187">
              <w:rPr>
                <w:rFonts w:ascii="宋体" w:hAnsi="宋体" w:hint="eastAsia"/>
                <w:szCs w:val="21"/>
              </w:rPr>
              <w:t>血液系统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951187">
              <w:rPr>
                <w:rFonts w:ascii="宋体" w:hAnsi="宋体" w:hint="eastAsia"/>
                <w:szCs w:val="21"/>
              </w:rPr>
              <w:t>贫血和血小板增多在活动期RA患者中十分常见，病情稳定后贫血改善</w:t>
            </w:r>
            <w:r w:rsidR="005E1787">
              <w:rPr>
                <w:rFonts w:ascii="宋体" w:hAnsi="宋体" w:hint="eastAsia"/>
                <w:szCs w:val="21"/>
              </w:rPr>
              <w:t>，</w:t>
            </w:r>
            <w:r w:rsidR="005E1787" w:rsidRPr="00951187">
              <w:rPr>
                <w:rFonts w:ascii="宋体" w:hAnsi="宋体" w:hint="eastAsia"/>
                <w:szCs w:val="21"/>
              </w:rPr>
              <w:t>血小板也可以恢复正常。</w:t>
            </w:r>
          </w:p>
        </w:tc>
      </w:tr>
      <w:tr w:rsidR="005E1787" w:rsidRPr="008E1A4C" w:rsidTr="00C85EF0">
        <w:tc>
          <w:tcPr>
            <w:tcW w:w="675" w:type="dxa"/>
          </w:tcPr>
          <w:p w:rsidR="005E1787" w:rsidRDefault="005E1787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983</w:t>
            </w:r>
          </w:p>
        </w:tc>
        <w:tc>
          <w:tcPr>
            <w:tcW w:w="3686" w:type="dxa"/>
          </w:tcPr>
          <w:p w:rsidR="005E1787" w:rsidRDefault="005E1787" w:rsidP="00EB749F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主要用于改变病情抗风湿药起效前的“桥接治疗”以及</w:t>
            </w:r>
            <w:r>
              <w:rPr>
                <w:rFonts w:ascii="宋体" w:hAnsi="宋体" w:hint="eastAsia"/>
                <w:szCs w:val="21"/>
              </w:rPr>
              <w:t>伴有间质性病变、皮肤血管炎等重要并发症的患者</w:t>
            </w:r>
            <w:r w:rsidRPr="004656B3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4161" w:type="dxa"/>
          </w:tcPr>
          <w:p w:rsidR="005E1787" w:rsidRDefault="005E1787" w:rsidP="005E1787">
            <w:pPr>
              <w:rPr>
                <w:rFonts w:ascii="宋体" w:hAnsi="宋体" w:hint="eastAsia"/>
                <w:szCs w:val="21"/>
              </w:rPr>
            </w:pPr>
            <w:r w:rsidRPr="004656B3">
              <w:rPr>
                <w:rFonts w:ascii="宋体" w:hAnsi="宋体" w:hint="eastAsia"/>
                <w:szCs w:val="21"/>
              </w:rPr>
              <w:t>主要用于改变病情抗风湿药起效前的“桥接治疗”</w:t>
            </w:r>
            <w:r w:rsidR="00F83D42">
              <w:rPr>
                <w:rFonts w:ascii="宋体" w:hAnsi="宋体" w:hint="eastAsia"/>
                <w:szCs w:val="21"/>
              </w:rPr>
              <w:t>、活动性RA</w:t>
            </w:r>
            <w:r w:rsidRPr="004656B3">
              <w:rPr>
                <w:rFonts w:ascii="宋体" w:hAnsi="宋体" w:hint="eastAsia"/>
                <w:szCs w:val="21"/>
              </w:rPr>
              <w:t>以及</w:t>
            </w:r>
            <w:r>
              <w:rPr>
                <w:rFonts w:ascii="宋体" w:hAnsi="宋体" w:hint="eastAsia"/>
                <w:szCs w:val="21"/>
              </w:rPr>
              <w:t>伴有间质性病变、皮肤血管炎等重要并发症的患者</w:t>
            </w:r>
            <w:r w:rsidRPr="004656B3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A12937" w:rsidRPr="008E1A4C" w:rsidTr="00C85EF0">
        <w:tc>
          <w:tcPr>
            <w:tcW w:w="675" w:type="dxa"/>
          </w:tcPr>
          <w:p w:rsidR="00A12937" w:rsidRPr="008E1A4C" w:rsidRDefault="005E1787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983</w:t>
            </w:r>
          </w:p>
        </w:tc>
        <w:tc>
          <w:tcPr>
            <w:tcW w:w="3686" w:type="dxa"/>
          </w:tcPr>
          <w:p w:rsidR="00A12937" w:rsidRPr="008E1A4C" w:rsidRDefault="00F12069" w:rsidP="00C85EF0">
            <w:pPr>
              <w:rPr>
                <w:color w:val="000000" w:themeColor="text1"/>
              </w:rPr>
            </w:pPr>
            <w:r w:rsidRPr="008E1A4C">
              <w:rPr>
                <w:rFonts w:ascii="宋体" w:hAnsi="宋体"/>
                <w:color w:val="000000" w:themeColor="text1"/>
                <w:szCs w:val="21"/>
              </w:rPr>
              <w:t>一般口服泼尼松剂量</w:t>
            </w:r>
            <w:r w:rsidRPr="008E1A4C">
              <w:rPr>
                <w:rFonts w:ascii="宋体" w:hAnsi="宋体" w:hint="eastAsia"/>
                <w:color w:val="000000" w:themeColor="text1"/>
                <w:szCs w:val="21"/>
              </w:rPr>
              <w:t>＜15</w:t>
            </w:r>
            <w:r w:rsidRPr="008E1A4C">
              <w:rPr>
                <w:rFonts w:ascii="宋体" w:hAnsi="宋体"/>
                <w:color w:val="000000" w:themeColor="text1"/>
                <w:szCs w:val="21"/>
              </w:rPr>
              <w:t>m</w:t>
            </w:r>
            <w:r w:rsidRPr="008E1A4C">
              <w:rPr>
                <w:rFonts w:ascii="宋体" w:hAnsi="宋体" w:hint="eastAsia"/>
                <w:color w:val="000000" w:themeColor="text1"/>
                <w:szCs w:val="21"/>
              </w:rPr>
              <w:t>g</w:t>
            </w:r>
            <w:r w:rsidRPr="008E1A4C">
              <w:rPr>
                <w:rFonts w:ascii="宋体" w:hAnsi="宋体"/>
                <w:color w:val="000000" w:themeColor="text1"/>
                <w:szCs w:val="21"/>
              </w:rPr>
              <w:t>／d</w:t>
            </w:r>
            <w:r w:rsidR="00F83D42">
              <w:rPr>
                <w:rFonts w:ascii="宋体" w:hAnsi="宋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4161" w:type="dxa"/>
          </w:tcPr>
          <w:p w:rsidR="00A12937" w:rsidRPr="008E1A4C" w:rsidRDefault="00F12069" w:rsidP="00F12069">
            <w:pPr>
              <w:rPr>
                <w:color w:val="000000" w:themeColor="text1"/>
              </w:rPr>
            </w:pPr>
            <w:r w:rsidRPr="008E1A4C">
              <w:rPr>
                <w:rFonts w:ascii="宋体" w:hAnsi="宋体"/>
                <w:color w:val="000000" w:themeColor="text1"/>
                <w:szCs w:val="21"/>
              </w:rPr>
              <w:t>一般口服泼尼松剂量</w:t>
            </w:r>
            <w:r w:rsidRPr="008E1A4C">
              <w:rPr>
                <w:rFonts w:ascii="宋体" w:hAnsi="宋体" w:hint="eastAsia"/>
                <w:color w:val="000000" w:themeColor="text1"/>
                <w:szCs w:val="21"/>
              </w:rPr>
              <w:t>＜10</w:t>
            </w:r>
            <w:r w:rsidRPr="008E1A4C">
              <w:rPr>
                <w:rFonts w:ascii="宋体" w:hAnsi="宋体"/>
                <w:color w:val="000000" w:themeColor="text1"/>
                <w:szCs w:val="21"/>
              </w:rPr>
              <w:t>m</w:t>
            </w:r>
            <w:r w:rsidRPr="008E1A4C">
              <w:rPr>
                <w:rFonts w:ascii="宋体" w:hAnsi="宋体" w:hint="eastAsia"/>
                <w:color w:val="000000" w:themeColor="text1"/>
                <w:szCs w:val="21"/>
              </w:rPr>
              <w:t>g</w:t>
            </w:r>
            <w:r w:rsidRPr="008E1A4C">
              <w:rPr>
                <w:rFonts w:ascii="宋体" w:hAnsi="宋体"/>
                <w:color w:val="000000" w:themeColor="text1"/>
                <w:szCs w:val="21"/>
              </w:rPr>
              <w:t>／d</w:t>
            </w:r>
            <w:r w:rsidR="00F83D42">
              <w:rPr>
                <w:rFonts w:ascii="宋体" w:hAnsi="宋体" w:hint="eastAsia"/>
                <w:color w:val="000000" w:themeColor="text1"/>
                <w:szCs w:val="21"/>
              </w:rPr>
              <w:t>。通常不建议糖皮质激素单药治疗</w:t>
            </w:r>
            <w:r w:rsidR="00E335DC">
              <w:rPr>
                <w:rFonts w:ascii="宋体" w:hAnsi="宋体" w:hint="eastAsia"/>
                <w:color w:val="000000" w:themeColor="text1"/>
                <w:szCs w:val="21"/>
              </w:rPr>
              <w:t>；另外，在疾病活动中得到控制后也应尽早减停药。</w:t>
            </w:r>
          </w:p>
        </w:tc>
      </w:tr>
      <w:tr w:rsidR="00F83D42" w:rsidRPr="008E1A4C" w:rsidTr="00C85EF0">
        <w:tc>
          <w:tcPr>
            <w:tcW w:w="675" w:type="dxa"/>
          </w:tcPr>
          <w:p w:rsidR="00F83D42" w:rsidRDefault="00F83D42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983</w:t>
            </w:r>
          </w:p>
        </w:tc>
        <w:tc>
          <w:tcPr>
            <w:tcW w:w="3686" w:type="dxa"/>
          </w:tcPr>
          <w:p w:rsidR="00F83D42" w:rsidRPr="008E1A4C" w:rsidRDefault="00E24A4B" w:rsidP="00C85EF0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近十余年来</w:t>
            </w:r>
          </w:p>
        </w:tc>
        <w:tc>
          <w:tcPr>
            <w:tcW w:w="4161" w:type="dxa"/>
          </w:tcPr>
          <w:p w:rsidR="00F83D42" w:rsidRPr="008E1A4C" w:rsidRDefault="00E24A4B" w:rsidP="00E24A4B">
            <w:p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近20余年来</w:t>
            </w:r>
          </w:p>
        </w:tc>
      </w:tr>
      <w:tr w:rsidR="00A12937" w:rsidRPr="008E1A4C" w:rsidTr="00C85EF0">
        <w:tc>
          <w:tcPr>
            <w:tcW w:w="675" w:type="dxa"/>
          </w:tcPr>
          <w:p w:rsidR="00A12937" w:rsidRPr="008E1A4C" w:rsidRDefault="00E933F9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985</w:t>
            </w:r>
          </w:p>
        </w:tc>
        <w:tc>
          <w:tcPr>
            <w:tcW w:w="3686" w:type="dxa"/>
          </w:tcPr>
          <w:p w:rsidR="00A12937" w:rsidRPr="008E1A4C" w:rsidRDefault="00413D3B" w:rsidP="00C85EF0">
            <w:pPr>
              <w:rPr>
                <w:color w:val="000000" w:themeColor="text1"/>
              </w:rPr>
            </w:pPr>
            <w:r w:rsidRPr="004656B3">
              <w:rPr>
                <w:rFonts w:ascii="宋体" w:hAnsi="宋体" w:hint="eastAsia"/>
                <w:szCs w:val="21"/>
              </w:rPr>
              <w:t>因此在非早期患者中可以使用。</w:t>
            </w:r>
          </w:p>
        </w:tc>
        <w:tc>
          <w:tcPr>
            <w:tcW w:w="4161" w:type="dxa"/>
          </w:tcPr>
          <w:p w:rsidR="00A12937" w:rsidRPr="008E1A4C" w:rsidRDefault="00413D3B" w:rsidP="008303D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因此主要用于长病程患者中。</w:t>
            </w:r>
          </w:p>
        </w:tc>
      </w:tr>
      <w:tr w:rsidR="00A12937" w:rsidRPr="008E1A4C" w:rsidTr="00C85EF0">
        <w:tc>
          <w:tcPr>
            <w:tcW w:w="675" w:type="dxa"/>
          </w:tcPr>
          <w:p w:rsidR="00A12937" w:rsidRPr="008E1A4C" w:rsidRDefault="00413D3B" w:rsidP="008F047D">
            <w:pPr>
              <w:widowControl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985</w:t>
            </w:r>
          </w:p>
        </w:tc>
        <w:tc>
          <w:tcPr>
            <w:tcW w:w="3686" w:type="dxa"/>
          </w:tcPr>
          <w:p w:rsidR="00A12937" w:rsidRPr="008E1A4C" w:rsidRDefault="00716334" w:rsidP="00C85EF0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szCs w:val="21"/>
              </w:rPr>
              <w:t>(2)</w:t>
            </w:r>
            <w:r w:rsidRPr="004656B3">
              <w:rPr>
                <w:rFonts w:ascii="宋体" w:hAnsi="宋体" w:hint="eastAsia"/>
                <w:szCs w:val="21"/>
              </w:rPr>
              <w:t>改变病情抗风湿药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4656B3">
              <w:rPr>
                <w:rFonts w:ascii="宋体" w:hAnsi="宋体" w:hint="eastAsia"/>
                <w:szCs w:val="21"/>
              </w:rPr>
              <w:t>能够降低血沉、C-反应蛋白等炎性指标，能够改善活动性外周关节炎的肿胀和疼痛，但对仅有中轴受累的患者无效。常使用的药物包括甲氨蝶呤、柳氮磺吡啶、来氟米特等。</w:t>
            </w:r>
          </w:p>
        </w:tc>
        <w:tc>
          <w:tcPr>
            <w:tcW w:w="4161" w:type="dxa"/>
          </w:tcPr>
          <w:p w:rsidR="00A12937" w:rsidRPr="008E1A4C" w:rsidRDefault="00716334" w:rsidP="00716334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szCs w:val="21"/>
              </w:rPr>
              <w:t>(2)</w:t>
            </w:r>
            <w:r w:rsidRPr="004656B3">
              <w:rPr>
                <w:rFonts w:ascii="宋体" w:hAnsi="宋体" w:hint="eastAsia"/>
                <w:szCs w:val="21"/>
              </w:rPr>
              <w:t>改变病情抗风湿药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例如</w:t>
            </w:r>
            <w:r w:rsidRPr="004656B3">
              <w:rPr>
                <w:rFonts w:ascii="宋体" w:hAnsi="宋体" w:hint="eastAsia"/>
                <w:szCs w:val="21"/>
              </w:rPr>
              <w:t>甲氨蝶呤、柳氮磺吡啶、来氟米特等。能够降低血沉、C-反应蛋白等炎性指标，能够改善活动性外周关节炎的肿胀和疼痛，但对仅有中轴受累的患者无效。</w:t>
            </w:r>
          </w:p>
        </w:tc>
      </w:tr>
      <w:tr w:rsidR="00A12937" w:rsidRPr="008E1A4C" w:rsidTr="00C85EF0">
        <w:tc>
          <w:tcPr>
            <w:tcW w:w="675" w:type="dxa"/>
          </w:tcPr>
          <w:p w:rsidR="00A12937" w:rsidRPr="008E1A4C" w:rsidRDefault="00A12937" w:rsidP="00C85EF0">
            <w:pPr>
              <w:rPr>
                <w:color w:val="000000" w:themeColor="text1"/>
              </w:rPr>
            </w:pPr>
          </w:p>
        </w:tc>
        <w:tc>
          <w:tcPr>
            <w:tcW w:w="3686" w:type="dxa"/>
          </w:tcPr>
          <w:p w:rsidR="00A12937" w:rsidRPr="008E1A4C" w:rsidRDefault="00A12937" w:rsidP="00C85EF0">
            <w:pPr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A12937" w:rsidRPr="008E1A4C" w:rsidRDefault="00A12937" w:rsidP="00C85EF0">
            <w:pPr>
              <w:rPr>
                <w:color w:val="000000" w:themeColor="text1"/>
              </w:rPr>
            </w:pPr>
          </w:p>
        </w:tc>
      </w:tr>
    </w:tbl>
    <w:p w:rsidR="00D71504" w:rsidRPr="008E1A4C" w:rsidRDefault="00D71504" w:rsidP="00A12937">
      <w:pPr>
        <w:rPr>
          <w:color w:val="000000" w:themeColor="text1"/>
        </w:rPr>
      </w:pPr>
    </w:p>
    <w:sectPr w:rsidR="00D71504" w:rsidRPr="008E1A4C" w:rsidSect="003F4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544" w:rsidRDefault="009B6544" w:rsidP="00A12937">
      <w:r>
        <w:separator/>
      </w:r>
    </w:p>
  </w:endnote>
  <w:endnote w:type="continuationSeparator" w:id="1">
    <w:p w:rsidR="009B6544" w:rsidRDefault="009B6544" w:rsidP="00A1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544" w:rsidRDefault="009B6544" w:rsidP="00A12937">
      <w:r>
        <w:separator/>
      </w:r>
    </w:p>
  </w:footnote>
  <w:footnote w:type="continuationSeparator" w:id="1">
    <w:p w:rsidR="009B6544" w:rsidRDefault="009B6544" w:rsidP="00A12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2937"/>
    <w:rsid w:val="000375DC"/>
    <w:rsid w:val="000D5558"/>
    <w:rsid w:val="00160CB8"/>
    <w:rsid w:val="001B4916"/>
    <w:rsid w:val="00246A4B"/>
    <w:rsid w:val="002B0A74"/>
    <w:rsid w:val="00391305"/>
    <w:rsid w:val="003B2AB6"/>
    <w:rsid w:val="003F4940"/>
    <w:rsid w:val="00413D3B"/>
    <w:rsid w:val="00555A09"/>
    <w:rsid w:val="005B1BB2"/>
    <w:rsid w:val="005E1787"/>
    <w:rsid w:val="00716334"/>
    <w:rsid w:val="00737E4C"/>
    <w:rsid w:val="008303DB"/>
    <w:rsid w:val="00847213"/>
    <w:rsid w:val="008524C0"/>
    <w:rsid w:val="008D252E"/>
    <w:rsid w:val="008E1A4C"/>
    <w:rsid w:val="008F047D"/>
    <w:rsid w:val="009B6544"/>
    <w:rsid w:val="00A12937"/>
    <w:rsid w:val="00CD30D4"/>
    <w:rsid w:val="00D71504"/>
    <w:rsid w:val="00E24A4B"/>
    <w:rsid w:val="00E335DC"/>
    <w:rsid w:val="00E438E8"/>
    <w:rsid w:val="00E933F9"/>
    <w:rsid w:val="00EB1C68"/>
    <w:rsid w:val="00EB749F"/>
    <w:rsid w:val="00F12069"/>
    <w:rsid w:val="00F126A4"/>
    <w:rsid w:val="00F83D42"/>
    <w:rsid w:val="00F94868"/>
    <w:rsid w:val="00FA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3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9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9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9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牛玉华</dc:creator>
  <cp:keywords/>
  <dc:description/>
  <cp:lastModifiedBy>牛玉华</cp:lastModifiedBy>
  <cp:revision>7</cp:revision>
  <dcterms:created xsi:type="dcterms:W3CDTF">2018-02-01T10:34:00Z</dcterms:created>
  <dcterms:modified xsi:type="dcterms:W3CDTF">2018-03-12T13:49:00Z</dcterms:modified>
</cp:coreProperties>
</file>