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9E" w:rsidRPr="00BC1369" w:rsidRDefault="002E489E" w:rsidP="00BC1369">
      <w:pPr>
        <w:spacing w:line="360" w:lineRule="auto"/>
        <w:ind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BC1369">
        <w:rPr>
          <w:rFonts w:asciiTheme="minorEastAsia" w:hAnsiTheme="minorEastAsia" w:hint="eastAsia"/>
          <w:b/>
          <w:sz w:val="24"/>
          <w:szCs w:val="24"/>
        </w:rPr>
        <w:t>2018</w:t>
      </w:r>
      <w:r w:rsidR="00372F87" w:rsidRPr="00BC1369">
        <w:rPr>
          <w:rFonts w:asciiTheme="minorEastAsia" w:hAnsiTheme="minorEastAsia" w:hint="eastAsia"/>
          <w:b/>
          <w:sz w:val="24"/>
          <w:szCs w:val="24"/>
        </w:rPr>
        <w:t>年</w:t>
      </w:r>
      <w:r w:rsidR="00A458B6" w:rsidRPr="00BC1369">
        <w:rPr>
          <w:rFonts w:asciiTheme="minorEastAsia" w:hAnsiTheme="minorEastAsia" w:hint="eastAsia"/>
          <w:b/>
          <w:sz w:val="24"/>
          <w:szCs w:val="24"/>
        </w:rPr>
        <w:t>执业</w:t>
      </w:r>
      <w:r w:rsidRPr="00BC1369">
        <w:rPr>
          <w:rFonts w:asciiTheme="minorEastAsia" w:hAnsiTheme="minorEastAsia" w:hint="eastAsia"/>
          <w:b/>
          <w:sz w:val="24"/>
          <w:szCs w:val="24"/>
        </w:rPr>
        <w:t>医师考试指导心血管系统疾病变动部分</w:t>
      </w:r>
    </w:p>
    <w:tbl>
      <w:tblPr>
        <w:tblStyle w:val="a5"/>
        <w:tblW w:w="0" w:type="auto"/>
        <w:tblLook w:val="04A0"/>
      </w:tblPr>
      <w:tblGrid>
        <w:gridCol w:w="1668"/>
        <w:gridCol w:w="3685"/>
        <w:gridCol w:w="3169"/>
      </w:tblGrid>
      <w:tr w:rsidR="002E489E" w:rsidRPr="00BC1369" w:rsidTr="00BC1369">
        <w:tc>
          <w:tcPr>
            <w:tcW w:w="1668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页码</w:t>
            </w:r>
          </w:p>
        </w:tc>
        <w:tc>
          <w:tcPr>
            <w:tcW w:w="3685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2017年指南</w:t>
            </w:r>
          </w:p>
        </w:tc>
        <w:tc>
          <w:tcPr>
            <w:tcW w:w="3169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2018年指南</w:t>
            </w:r>
          </w:p>
        </w:tc>
      </w:tr>
      <w:tr w:rsidR="002C72AA" w:rsidRPr="00BC1369" w:rsidTr="00BC1369">
        <w:tc>
          <w:tcPr>
            <w:tcW w:w="1668" w:type="dxa"/>
          </w:tcPr>
          <w:p w:rsidR="002C72AA" w:rsidRPr="00BC1369" w:rsidRDefault="002C72AA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462</w:t>
            </w:r>
          </w:p>
        </w:tc>
        <w:tc>
          <w:tcPr>
            <w:tcW w:w="3685" w:type="dxa"/>
          </w:tcPr>
          <w:p w:rsidR="002C72AA" w:rsidRPr="00BC1369" w:rsidRDefault="002C72AA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</w:tcPr>
          <w:p w:rsidR="002C72AA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添加“或过多、过快输液”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P476</w:t>
            </w:r>
          </w:p>
        </w:tc>
        <w:tc>
          <w:tcPr>
            <w:tcW w:w="3685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至少5cm</w:t>
            </w:r>
          </w:p>
        </w:tc>
        <w:tc>
          <w:tcPr>
            <w:tcW w:w="3169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5～6cm</w:t>
            </w:r>
          </w:p>
        </w:tc>
      </w:tr>
      <w:tr w:rsidR="002E489E" w:rsidRPr="00BC1369" w:rsidTr="00BC1369">
        <w:tc>
          <w:tcPr>
            <w:tcW w:w="1668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476</w:t>
            </w:r>
          </w:p>
        </w:tc>
        <w:tc>
          <w:tcPr>
            <w:tcW w:w="3685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至少100次/分</w:t>
            </w:r>
          </w:p>
        </w:tc>
        <w:tc>
          <w:tcPr>
            <w:tcW w:w="3169" w:type="dxa"/>
          </w:tcPr>
          <w:p w:rsidR="002E489E" w:rsidRPr="00BC1369" w:rsidRDefault="002E489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100～120次/分</w:t>
            </w:r>
          </w:p>
        </w:tc>
      </w:tr>
      <w:tr w:rsidR="002E489E" w:rsidRPr="00BC1369" w:rsidTr="00BC1369">
        <w:tc>
          <w:tcPr>
            <w:tcW w:w="1668" w:type="dxa"/>
          </w:tcPr>
          <w:p w:rsidR="002E489E" w:rsidRPr="00BC1369" w:rsidRDefault="002C72AA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481</w:t>
            </w:r>
          </w:p>
        </w:tc>
        <w:tc>
          <w:tcPr>
            <w:tcW w:w="3685" w:type="dxa"/>
          </w:tcPr>
          <w:p w:rsidR="002E489E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糖尿病或慢性肾脏病合并高血压患者，血压控制目标值＜130/80mmHg</w:t>
            </w:r>
          </w:p>
        </w:tc>
        <w:tc>
          <w:tcPr>
            <w:tcW w:w="3169" w:type="dxa"/>
          </w:tcPr>
          <w:p w:rsidR="002E489E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删除。</w:t>
            </w:r>
          </w:p>
        </w:tc>
      </w:tr>
      <w:tr w:rsidR="002C72AA" w:rsidRPr="00BC1369" w:rsidTr="00BC1369">
        <w:tc>
          <w:tcPr>
            <w:tcW w:w="1668" w:type="dxa"/>
          </w:tcPr>
          <w:p w:rsidR="002C72AA" w:rsidRPr="00BC1369" w:rsidRDefault="002C72AA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481</w:t>
            </w:r>
          </w:p>
        </w:tc>
        <w:tc>
          <w:tcPr>
            <w:tcW w:w="3685" w:type="dxa"/>
          </w:tcPr>
          <w:p w:rsidR="002C72AA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50g</w:t>
            </w:r>
          </w:p>
        </w:tc>
        <w:tc>
          <w:tcPr>
            <w:tcW w:w="3169" w:type="dxa"/>
          </w:tcPr>
          <w:p w:rsidR="002C72AA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25g</w:t>
            </w:r>
          </w:p>
        </w:tc>
      </w:tr>
      <w:tr w:rsidR="00C0113E" w:rsidRPr="00BC1369" w:rsidTr="00BC1369">
        <w:tc>
          <w:tcPr>
            <w:tcW w:w="1668" w:type="dxa"/>
          </w:tcPr>
          <w:p w:rsidR="00C0113E" w:rsidRPr="00BC1369" w:rsidRDefault="00C0113E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492</w:t>
            </w:r>
          </w:p>
        </w:tc>
        <w:tc>
          <w:tcPr>
            <w:tcW w:w="3685" w:type="dxa"/>
          </w:tcPr>
          <w:p w:rsidR="00C0113E" w:rsidRPr="00BC1369" w:rsidRDefault="00C0113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169" w:type="dxa"/>
          </w:tcPr>
          <w:p w:rsidR="00C0113E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表9-17</w:t>
            </w:r>
            <w:r w:rsidR="00B567A1">
              <w:rPr>
                <w:rFonts w:asciiTheme="minorEastAsia" w:hAnsiTheme="minorEastAsia" w:cs="宋体" w:hint="eastAsia"/>
                <w:sz w:val="24"/>
                <w:szCs w:val="24"/>
              </w:rPr>
              <w:t>血脂合适水平和异常分层标准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变动大</w:t>
            </w:r>
          </w:p>
        </w:tc>
      </w:tr>
      <w:tr w:rsidR="00140832" w:rsidRPr="00BC1369" w:rsidTr="00BC1369">
        <w:tc>
          <w:tcPr>
            <w:tcW w:w="1668" w:type="dxa"/>
          </w:tcPr>
          <w:p w:rsidR="00140832" w:rsidRPr="00BC1369" w:rsidRDefault="00140832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  <w:r w:rsidR="00A458B6" w:rsidRPr="00BC1369">
              <w:rPr>
                <w:rFonts w:asciiTheme="minorEastAsia" w:hAnsiTheme="minorEastAsia" w:hint="eastAsia"/>
                <w:sz w:val="24"/>
                <w:szCs w:val="24"/>
              </w:rPr>
              <w:t>492</w:t>
            </w:r>
          </w:p>
        </w:tc>
        <w:tc>
          <w:tcPr>
            <w:tcW w:w="3685" w:type="dxa"/>
          </w:tcPr>
          <w:p w:rsidR="00140832" w:rsidRPr="00BC1369" w:rsidRDefault="00140832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169" w:type="dxa"/>
          </w:tcPr>
          <w:p w:rsidR="00140832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表9-18</w:t>
            </w:r>
            <w:r w:rsidR="00B567A1">
              <w:rPr>
                <w:rFonts w:asciiTheme="minorEastAsia" w:hAnsiTheme="minorEastAsia" w:cs="宋体" w:hint="eastAsia"/>
                <w:sz w:val="24"/>
                <w:szCs w:val="24"/>
              </w:rPr>
              <w:t>血脂异常危险分层方案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变动大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P494</w:t>
            </w:r>
          </w:p>
        </w:tc>
        <w:tc>
          <w:tcPr>
            <w:tcW w:w="3685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169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表9-20</w:t>
            </w:r>
            <w:r w:rsidR="00B567A1">
              <w:rPr>
                <w:rFonts w:asciiTheme="minorEastAsia" w:hAnsiTheme="minorEastAsia" w:cs="宋体" w:hint="eastAsia"/>
                <w:sz w:val="24"/>
                <w:szCs w:val="24"/>
              </w:rPr>
              <w:t>胆固醇代谢异常治疗目标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变动大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P494</w:t>
            </w:r>
          </w:p>
        </w:tc>
        <w:tc>
          <w:tcPr>
            <w:tcW w:w="3685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169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添加“临床上通常将冠心病分为稳定型心绞痛和急性冠脉综合征两类。稳定型心绞痛特指临床症状稳定的劳力性心绞痛”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P498</w:t>
            </w:r>
          </w:p>
        </w:tc>
        <w:tc>
          <w:tcPr>
            <w:tcW w:w="3685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糖化血红蛋白不超过</w:t>
            </w:r>
            <w:r w:rsidRPr="00BC1369">
              <w:rPr>
                <w:rFonts w:asciiTheme="minorEastAsia" w:hAnsiTheme="minorEastAsia"/>
                <w:sz w:val="24"/>
                <w:szCs w:val="24"/>
              </w:rPr>
              <w:t>7%</w:t>
            </w:r>
          </w:p>
        </w:tc>
        <w:tc>
          <w:tcPr>
            <w:tcW w:w="3169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糖化血红蛋白不超过</w:t>
            </w:r>
            <w:r w:rsidRPr="00BC1369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.5</w:t>
            </w:r>
            <w:r w:rsidRPr="00BC1369">
              <w:rPr>
                <w:rFonts w:asciiTheme="minorEastAsia" w:hAnsiTheme="minorEastAsia"/>
                <w:sz w:val="24"/>
                <w:szCs w:val="24"/>
              </w:rPr>
              <w:t>%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P500-P501</w:t>
            </w:r>
          </w:p>
        </w:tc>
        <w:tc>
          <w:tcPr>
            <w:tcW w:w="3685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</w:p>
        </w:tc>
        <w:tc>
          <w:tcPr>
            <w:tcW w:w="3169" w:type="dxa"/>
          </w:tcPr>
          <w:p w:rsidR="00A458B6" w:rsidRPr="00BC1369" w:rsidRDefault="00A458B6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ESC分层变动大</w:t>
            </w:r>
          </w:p>
        </w:tc>
      </w:tr>
      <w:tr w:rsidR="00A458B6" w:rsidRPr="00BC1369" w:rsidTr="00BC1369">
        <w:tc>
          <w:tcPr>
            <w:tcW w:w="1668" w:type="dxa"/>
          </w:tcPr>
          <w:p w:rsidR="00A458B6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P501</w:t>
            </w:r>
          </w:p>
        </w:tc>
        <w:tc>
          <w:tcPr>
            <w:tcW w:w="3685" w:type="dxa"/>
          </w:tcPr>
          <w:p w:rsidR="00A458B6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②其他GRACE评分＞140或具有至少一项ESC高危特点的患者应在24小时内完成介入评估；③GRACE评分＜140但具有至少一项ESC高危特点者应在出院前最好是入院72小时内进行介入评估；④治疗后病情稳定的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低危患者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在出院前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应进行无创检查，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若结果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显示为阳性，应进行介入评估。</w:t>
            </w:r>
          </w:p>
        </w:tc>
        <w:tc>
          <w:tcPr>
            <w:tcW w:w="3169" w:type="dxa"/>
          </w:tcPr>
          <w:p w:rsidR="00A458B6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②ESC高危组患者应在24小时内完成介入评估；③ESC中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低危组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患者应在入院72小时内进行介入评估；④病情稳定的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低危患者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在出院前应进行无创检查，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若结果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显示为阳性，应进行介入评估。</w:t>
            </w:r>
          </w:p>
        </w:tc>
      </w:tr>
      <w:tr w:rsidR="009872EE" w:rsidRPr="00BC1369" w:rsidTr="00BC1369">
        <w:tc>
          <w:tcPr>
            <w:tcW w:w="1668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P501</w:t>
            </w:r>
          </w:p>
        </w:tc>
        <w:tc>
          <w:tcPr>
            <w:tcW w:w="3685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那屈肝素86IU/kg</w:t>
            </w:r>
          </w:p>
        </w:tc>
        <w:tc>
          <w:tcPr>
            <w:tcW w:w="3169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 xml:space="preserve">那曲肝素86A </w:t>
            </w:r>
            <w:proofErr w:type="spell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Xa</w:t>
            </w:r>
            <w:proofErr w:type="spell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 xml:space="preserve"> IU/kg</w:t>
            </w:r>
          </w:p>
        </w:tc>
      </w:tr>
      <w:tr w:rsidR="009872EE" w:rsidRPr="00BC1369" w:rsidTr="00BC1369">
        <w:tc>
          <w:tcPr>
            <w:tcW w:w="1668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P506</w:t>
            </w:r>
          </w:p>
        </w:tc>
        <w:tc>
          <w:tcPr>
            <w:tcW w:w="3685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达肝素每次120IU/kg</w:t>
            </w:r>
          </w:p>
        </w:tc>
        <w:tc>
          <w:tcPr>
            <w:tcW w:w="3169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 xml:space="preserve">达肝素每次120A </w:t>
            </w:r>
            <w:proofErr w:type="spell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Xa</w:t>
            </w:r>
            <w:proofErr w:type="spell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 xml:space="preserve"> IU/kg</w:t>
            </w:r>
          </w:p>
        </w:tc>
      </w:tr>
      <w:tr w:rsidR="009872EE" w:rsidRPr="00BC1369" w:rsidTr="00BC1369">
        <w:tc>
          <w:tcPr>
            <w:tcW w:w="1668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P535</w:t>
            </w:r>
          </w:p>
        </w:tc>
        <w:tc>
          <w:tcPr>
            <w:tcW w:w="3685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②无创伤性血管检查：超声多普勒血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流检查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及节段动脉压测定、电阻抗或光电容积描记等检查可了解患肢的血流状况；③X线平片：有时可见病变动脉段有不规则钙化，患肢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远侧段有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骨质疏松等退行性变化；④动脉造影：能准确显示病变的部位、范围、程度、侧支和闭塞远侧动脉主干的情况，对确定诊断及选择术式有重要意义。磁共振血管造影（MRA）和数字减影血管造影（DSA）都能达到诊断和指导治疗的目的。</w:t>
            </w:r>
          </w:p>
        </w:tc>
        <w:tc>
          <w:tcPr>
            <w:tcW w:w="3169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②超声多普勒：为首选影像检查，可了解患肢的血流状况；③CT血管成像（CTA）或磁共振血管造影（MRA）；④数字减影血管造影（DSA）；</w:t>
            </w:r>
            <w:r w:rsidRPr="00BC1369">
              <w:rPr>
                <w:rFonts w:asciiTheme="minorEastAsia" w:hAnsiTheme="minorEastAsia" w:cs="宋体"/>
                <w:sz w:val="24"/>
                <w:szCs w:val="24"/>
              </w:rPr>
              <w:fldChar w:fldCharType="begin"/>
            </w:r>
            <w:r w:rsidRPr="00BC1369">
              <w:rPr>
                <w:rFonts w:asciiTheme="minorEastAsia" w:hAnsiTheme="minorEastAsia" w:cs="宋体"/>
                <w:sz w:val="24"/>
                <w:szCs w:val="24"/>
              </w:rPr>
              <w:instrText xml:space="preserve"> </w:instrTex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instrText>= 5 \* GB3</w:instrText>
            </w:r>
            <w:r w:rsidRPr="00BC1369">
              <w:rPr>
                <w:rFonts w:asciiTheme="minorEastAsia" w:hAnsiTheme="minorEastAsia" w:cs="宋体"/>
                <w:sz w:val="24"/>
                <w:szCs w:val="24"/>
              </w:rPr>
              <w:instrText xml:space="preserve"> </w:instrText>
            </w:r>
            <w:r w:rsidRPr="00BC1369">
              <w:rPr>
                <w:rFonts w:asciiTheme="minorEastAsia" w:hAnsiTheme="minorEastAsia" w:cs="宋体"/>
                <w:sz w:val="24"/>
                <w:szCs w:val="24"/>
              </w:rPr>
              <w:fldChar w:fldCharType="separate"/>
            </w:r>
            <w:r w:rsidRPr="00BC1369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t>⑤</w:t>
            </w:r>
            <w:r w:rsidRPr="00BC1369">
              <w:rPr>
                <w:rFonts w:asciiTheme="minorEastAsia" w:hAnsiTheme="minorEastAsia" w:cs="宋体"/>
                <w:sz w:val="24"/>
                <w:szCs w:val="24"/>
              </w:rPr>
              <w:fldChar w:fldCharType="end"/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X线平片：有时可见病变动脉段有不规则钙化，患肢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远侧段有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骨质疏松等退行性变化。其中③④均能显示病变的部位、范围、程度、侧支和闭塞远侧动脉主干的情况，对确定诊断及指导治疗有重要意义。</w:t>
            </w:r>
          </w:p>
        </w:tc>
      </w:tr>
      <w:tr w:rsidR="009872EE" w:rsidRPr="00BC1369" w:rsidTr="00BC1369">
        <w:tc>
          <w:tcPr>
            <w:tcW w:w="1668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P536</w:t>
            </w:r>
          </w:p>
        </w:tc>
        <w:tc>
          <w:tcPr>
            <w:tcW w:w="3685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①肢体血流图：利用容积描记仪测定并记录搏动血流量；血流波形平坦或消失，表示血流量明显减少，动脉严重狭窄。②超声多普勒检查：应用多普勒听诊器，根据动脉音的强弱，判断动脉血流的强弱。超声多普勒血流仪可以记录动脉血流波形，波形幅度降低或呈直线状，表示动脉血流减少，或动脉已闭塞；同时还能做节段动脉压测定，了解病变部位和缺血严重程度。踝/肱指数，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即踝压（踝部</w:t>
            </w:r>
            <w:proofErr w:type="gramStart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胫</w:t>
            </w:r>
            <w:proofErr w:type="gramEnd"/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前或胫后动脉收缩压）与同侧肱动脉压之比，正常值＞1.0，如＞5且＜1，应视为缺血性疾病；＜0.5，表示严重缺血。超声多普勒显像仪可显示动脉的形态、直径和流速等。</w:t>
            </w:r>
          </w:p>
        </w:tc>
        <w:tc>
          <w:tcPr>
            <w:tcW w:w="3169" w:type="dxa"/>
          </w:tcPr>
          <w:p w:rsidR="009872EE" w:rsidRPr="00BC1369" w:rsidRDefault="009872EE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lastRenderedPageBreak/>
              <w:t>①超声多普勒检查：为首选影像学检查，可显示动脉的形态、直径和流速等。②CT血管造影（CTA）或磁共振血管造影（MRA）。</w:t>
            </w:r>
          </w:p>
        </w:tc>
      </w:tr>
      <w:tr w:rsidR="00BC1369" w:rsidRPr="00BC1369" w:rsidTr="00BC1369">
        <w:tc>
          <w:tcPr>
            <w:tcW w:w="1668" w:type="dxa"/>
          </w:tcPr>
          <w:p w:rsidR="00BC1369" w:rsidRPr="00BC1369" w:rsidRDefault="00BC1369" w:rsidP="00BC1369">
            <w:pPr>
              <w:spacing w:line="360" w:lineRule="auto"/>
              <w:ind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P540</w:t>
            </w:r>
          </w:p>
        </w:tc>
        <w:tc>
          <w:tcPr>
            <w:tcW w:w="3685" w:type="dxa"/>
          </w:tcPr>
          <w:p w:rsidR="00BC1369" w:rsidRPr="00BC1369" w:rsidRDefault="00BC1369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放射性核素检查：静脉注射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  <w:vertAlign w:val="superscript"/>
              </w:rPr>
              <w:t>125</w:t>
            </w: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I纤维蛋白原，能被新鲜血栓摄取，含量超过等量血液摄取量的5倍，因而能检出早期的血栓形成，可用于高危患者的筛选检查。</w:t>
            </w:r>
          </w:p>
        </w:tc>
        <w:tc>
          <w:tcPr>
            <w:tcW w:w="3169" w:type="dxa"/>
          </w:tcPr>
          <w:p w:rsidR="00BC1369" w:rsidRPr="00BC1369" w:rsidRDefault="00BC1369" w:rsidP="00BC1369">
            <w:pPr>
              <w:spacing w:line="360" w:lineRule="auto"/>
              <w:ind w:firstLineChars="0" w:firstLine="0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BC1369">
              <w:rPr>
                <w:rFonts w:asciiTheme="minorEastAsia" w:hAnsiTheme="minorEastAsia" w:cs="宋体" w:hint="eastAsia"/>
                <w:sz w:val="24"/>
                <w:szCs w:val="24"/>
              </w:rPr>
              <w:t>删除该内容。</w:t>
            </w:r>
          </w:p>
        </w:tc>
      </w:tr>
      <w:tr w:rsidR="00140832" w:rsidRPr="00BC1369" w:rsidTr="00BC1369">
        <w:tc>
          <w:tcPr>
            <w:tcW w:w="1668" w:type="dxa"/>
          </w:tcPr>
          <w:p w:rsidR="00140832" w:rsidRPr="00BC1369" w:rsidRDefault="00BC1369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P540</w:t>
            </w:r>
          </w:p>
        </w:tc>
        <w:tc>
          <w:tcPr>
            <w:tcW w:w="3685" w:type="dxa"/>
          </w:tcPr>
          <w:p w:rsidR="00140832" w:rsidRPr="00BC1369" w:rsidRDefault="00140832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/>
                <w:sz w:val="24"/>
                <w:szCs w:val="24"/>
              </w:rPr>
              <w:t>抗凝、</w:t>
            </w:r>
            <w:proofErr w:type="gramStart"/>
            <w:r w:rsidRPr="00BC1369">
              <w:rPr>
                <w:rFonts w:asciiTheme="minorEastAsia" w:hAnsiTheme="minorEastAsia"/>
                <w:sz w:val="24"/>
                <w:szCs w:val="24"/>
              </w:rPr>
              <w:t>祛聚疗法</w:t>
            </w:r>
            <w:proofErr w:type="gramEnd"/>
            <w:r w:rsidRPr="00BC1369">
              <w:rPr>
                <w:rFonts w:asciiTheme="minorEastAsia" w:hAnsiTheme="minorEastAsia"/>
                <w:sz w:val="24"/>
                <w:szCs w:val="24"/>
              </w:rPr>
              <w:t>2个月</w:t>
            </w:r>
          </w:p>
        </w:tc>
        <w:tc>
          <w:tcPr>
            <w:tcW w:w="3169" w:type="dxa"/>
          </w:tcPr>
          <w:p w:rsidR="00140832" w:rsidRPr="00BC1369" w:rsidRDefault="00140832" w:rsidP="00BC1369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BC1369">
              <w:rPr>
                <w:rFonts w:asciiTheme="minorEastAsia" w:hAnsiTheme="minorEastAsia"/>
                <w:sz w:val="24"/>
                <w:szCs w:val="24"/>
              </w:rPr>
              <w:t>抗凝</w:t>
            </w:r>
            <w:r w:rsidRPr="00BC1369">
              <w:rPr>
                <w:rFonts w:asciiTheme="minorEastAsia" w:hAnsiTheme="minorEastAsia" w:hint="eastAsia"/>
                <w:sz w:val="24"/>
                <w:szCs w:val="24"/>
              </w:rPr>
              <w:t>治疗3～6</w:t>
            </w:r>
            <w:r w:rsidRPr="00BC1369">
              <w:rPr>
                <w:rFonts w:asciiTheme="minorEastAsia" w:hAnsiTheme="minorEastAsia"/>
                <w:sz w:val="24"/>
                <w:szCs w:val="24"/>
              </w:rPr>
              <w:t>个月</w:t>
            </w:r>
          </w:p>
        </w:tc>
      </w:tr>
    </w:tbl>
    <w:p w:rsidR="00FF6D16" w:rsidRPr="00BC1369" w:rsidRDefault="00FF6D16" w:rsidP="00BC1369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</w:p>
    <w:sectPr w:rsidR="00FF6D16" w:rsidRPr="00BC1369" w:rsidSect="00FF6D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69" w:rsidRDefault="00BC1369" w:rsidP="002E489E">
      <w:pPr>
        <w:ind w:firstLine="420"/>
      </w:pPr>
      <w:r>
        <w:separator/>
      </w:r>
    </w:p>
  </w:endnote>
  <w:endnote w:type="continuationSeparator" w:id="0">
    <w:p w:rsidR="00BC1369" w:rsidRDefault="00BC1369" w:rsidP="002E489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69" w:rsidRDefault="00BC1369" w:rsidP="002E489E">
      <w:pPr>
        <w:ind w:firstLine="420"/>
      </w:pPr>
      <w:r>
        <w:separator/>
      </w:r>
    </w:p>
  </w:footnote>
  <w:footnote w:type="continuationSeparator" w:id="0">
    <w:p w:rsidR="00BC1369" w:rsidRDefault="00BC1369" w:rsidP="002E489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69" w:rsidRDefault="00BC13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89E"/>
    <w:rsid w:val="00140832"/>
    <w:rsid w:val="001C088E"/>
    <w:rsid w:val="002C72AA"/>
    <w:rsid w:val="002E489E"/>
    <w:rsid w:val="00372F87"/>
    <w:rsid w:val="004E0063"/>
    <w:rsid w:val="006570B9"/>
    <w:rsid w:val="0079529F"/>
    <w:rsid w:val="009872EE"/>
    <w:rsid w:val="00A025B9"/>
    <w:rsid w:val="00A458B6"/>
    <w:rsid w:val="00A979B9"/>
    <w:rsid w:val="00B32FA9"/>
    <w:rsid w:val="00B567A1"/>
    <w:rsid w:val="00BC1369"/>
    <w:rsid w:val="00BD044D"/>
    <w:rsid w:val="00C0113E"/>
    <w:rsid w:val="00E23161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9E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8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89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89E"/>
    <w:rPr>
      <w:sz w:val="18"/>
      <w:szCs w:val="18"/>
    </w:rPr>
  </w:style>
  <w:style w:type="table" w:styleId="a5">
    <w:name w:val="Table Grid"/>
    <w:basedOn w:val="a1"/>
    <w:uiPriority w:val="59"/>
    <w:rsid w:val="002E4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10</cp:revision>
  <dcterms:created xsi:type="dcterms:W3CDTF">2018-02-01T03:16:00Z</dcterms:created>
  <dcterms:modified xsi:type="dcterms:W3CDTF">2018-03-12T08:12:00Z</dcterms:modified>
</cp:coreProperties>
</file>